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CA238" w14:textId="77777777" w:rsidR="005F1443" w:rsidRDefault="005F1443" w:rsidP="009600D4">
      <w:pPr>
        <w:pStyle w:val="Heading1"/>
        <w:jc w:val="center"/>
      </w:pPr>
      <w:bookmarkStart w:id="0" w:name="_GoBack"/>
      <w:bookmarkEnd w:id="0"/>
      <w:r>
        <w:t xml:space="preserve">What does it mean to ‘care’? Thinking with Annemarie </w:t>
      </w:r>
      <w:proofErr w:type="spellStart"/>
      <w:r>
        <w:t>Mol</w:t>
      </w:r>
      <w:proofErr w:type="spellEnd"/>
    </w:p>
    <w:p w14:paraId="5378304F" w14:textId="77777777" w:rsidR="005F1443" w:rsidRDefault="005F1443" w:rsidP="009600D4">
      <w:pPr>
        <w:jc w:val="center"/>
      </w:pPr>
      <w:r>
        <w:t>Presente</w:t>
      </w:r>
      <w:r w:rsidR="00791923">
        <w:t>d by</w:t>
      </w:r>
      <w:r>
        <w:t xml:space="preserve"> Patty Thille, PhD, BSc(PT)</w:t>
      </w:r>
      <w:r w:rsidR="00062010">
        <w:t xml:space="preserve"> – Assistant Professor, Physical Therapy, University of Manitoba</w:t>
      </w:r>
    </w:p>
    <w:p w14:paraId="44E22B1A" w14:textId="77777777" w:rsidR="00791923" w:rsidRDefault="00791923" w:rsidP="009600D4">
      <w:pPr>
        <w:jc w:val="center"/>
      </w:pPr>
      <w:r>
        <w:t>Critical Physiotherapy Network, May 23, 2019</w:t>
      </w:r>
    </w:p>
    <w:p w14:paraId="339C6D92" w14:textId="77777777" w:rsidR="005F1443" w:rsidRDefault="005F1443"/>
    <w:p w14:paraId="13244DD0" w14:textId="77777777" w:rsidR="005F1443" w:rsidRPr="005F1443" w:rsidRDefault="005F1443">
      <w:pPr>
        <w:rPr>
          <w:b/>
        </w:rPr>
      </w:pPr>
      <w:r w:rsidRPr="005F1443">
        <w:rPr>
          <w:b/>
        </w:rPr>
        <w:t>Abstract</w:t>
      </w:r>
    </w:p>
    <w:p w14:paraId="72C9DAE2" w14:textId="77777777" w:rsidR="00062010" w:rsidRDefault="00CF5C38">
      <w:r>
        <w:t xml:space="preserve">Annemarie </w:t>
      </w:r>
      <w:proofErr w:type="spellStart"/>
      <w:r>
        <w:t>Mol</w:t>
      </w:r>
      <w:proofErr w:type="spellEnd"/>
      <w:r>
        <w:t xml:space="preserve"> is a contemporary Dutch philosopher, </w:t>
      </w:r>
      <w:r w:rsidR="000463CE">
        <w:t xml:space="preserve">currently </w:t>
      </w:r>
      <w:r w:rsidR="00713E42">
        <w:t>Professor of Anthropology of the Body at the University of Amsterdam (</w:t>
      </w:r>
      <w:hyperlink r:id="rId4" w:history="1">
        <w:r w:rsidR="00713E42">
          <w:rPr>
            <w:rStyle w:val="Hyperlink"/>
          </w:rPr>
          <w:t>https://www.uva.nl/en/profile/m/o/a.mol/a.mol.html</w:t>
        </w:r>
      </w:hyperlink>
      <w:r w:rsidR="00713E42">
        <w:t>). Her</w:t>
      </w:r>
      <w:r>
        <w:t xml:space="preserve"> ethnographic studies of health care in the 1990s and 2000s are recognized as major</w:t>
      </w:r>
      <w:r w:rsidR="00713E42">
        <w:t xml:space="preserve"> theoretical</w:t>
      </w:r>
      <w:r>
        <w:t xml:space="preserve"> contributions in the field of Science and Technology Studies. </w:t>
      </w:r>
      <w:r w:rsidR="009F43FA">
        <w:t xml:space="preserve">In these studies, </w:t>
      </w:r>
      <w:proofErr w:type="spellStart"/>
      <w:r w:rsidR="00BE6838">
        <w:t>Mol</w:t>
      </w:r>
      <w:proofErr w:type="spellEnd"/>
      <w:r w:rsidR="00BE6838">
        <w:t xml:space="preserve"> explore</w:t>
      </w:r>
      <w:r w:rsidR="006D374B">
        <w:t xml:space="preserve">s everyday </w:t>
      </w:r>
      <w:r w:rsidR="009F43FA">
        <w:t>clinical interactions focused on chronic conditions</w:t>
      </w:r>
      <w:r w:rsidR="006D374B">
        <w:t>, and</w:t>
      </w:r>
      <w:r w:rsidR="00BE6838">
        <w:t xml:space="preserve"> </w:t>
      </w:r>
      <w:r w:rsidR="00062010">
        <w:t>develop</w:t>
      </w:r>
      <w:r w:rsidR="006D374B">
        <w:t>s</w:t>
      </w:r>
      <w:r w:rsidR="00062010">
        <w:t xml:space="preserve"> theory from examining </w:t>
      </w:r>
      <w:r w:rsidR="00BE6838">
        <w:t xml:space="preserve">differences </w:t>
      </w:r>
      <w:r w:rsidR="006D374B">
        <w:t>therein</w:t>
      </w:r>
      <w:r w:rsidR="00BE6838">
        <w:t xml:space="preserve">. </w:t>
      </w:r>
      <w:r w:rsidR="00062010">
        <w:t>Instead of trying to tame the messiness of everyday practice</w:t>
      </w:r>
      <w:r w:rsidR="00F23753">
        <w:t xml:space="preserve"> into some sort of coherent monolith, </w:t>
      </w:r>
      <w:r w:rsidR="00062010">
        <w:t xml:space="preserve">she </w:t>
      </w:r>
      <w:proofErr w:type="spellStart"/>
      <w:r w:rsidR="000463CE">
        <w:t>emphasis</w:t>
      </w:r>
      <w:r w:rsidR="00F23753">
        <w:t>es</w:t>
      </w:r>
      <w:proofErr w:type="spellEnd"/>
      <w:r w:rsidR="00F23753">
        <w:t xml:space="preserve"> what we </w:t>
      </w:r>
      <w:r w:rsidR="00062010">
        <w:t>learn from the differences.</w:t>
      </w:r>
      <w:r w:rsidR="000463CE">
        <w:t xml:space="preserve"> </w:t>
      </w:r>
    </w:p>
    <w:p w14:paraId="44DF0464" w14:textId="77777777" w:rsidR="003B0F40" w:rsidRDefault="00062010">
      <w:r>
        <w:t xml:space="preserve">In </w:t>
      </w:r>
      <w:r w:rsidR="006D374B">
        <w:rPr>
          <w:i/>
        </w:rPr>
        <w:t>The Logic of Care: Health and the Problem of Patient Choice</w:t>
      </w:r>
      <w:r w:rsidR="006D374B">
        <w:t xml:space="preserve">, </w:t>
      </w:r>
      <w:proofErr w:type="spellStart"/>
      <w:r w:rsidR="006D374B">
        <w:t>Mol</w:t>
      </w:r>
      <w:proofErr w:type="spellEnd"/>
      <w:r w:rsidR="006D374B">
        <w:t xml:space="preserve"> </w:t>
      </w:r>
      <w:r w:rsidR="00C22D3B">
        <w:t>describe</w:t>
      </w:r>
      <w:r w:rsidR="006D374B">
        <w:t xml:space="preserve">s different logics co-existing in health care. Logics are </w:t>
      </w:r>
      <w:r w:rsidR="003B0F40">
        <w:t xml:space="preserve">practices that have affinities, commonalities, and coherence within a given culture at a point in </w:t>
      </w:r>
      <w:r w:rsidR="009F43FA">
        <w:t>time</w:t>
      </w:r>
      <w:r w:rsidR="003B0F40">
        <w:t>. In the book, she differentiates how logic</w:t>
      </w:r>
      <w:r w:rsidR="00C22D3B">
        <w:t>s</w:t>
      </w:r>
      <w:r w:rsidR="003B0F40">
        <w:t xml:space="preserve"> of choice </w:t>
      </w:r>
      <w:r w:rsidR="00C22D3B">
        <w:t>and</w:t>
      </w:r>
      <w:r w:rsidR="003B0F40">
        <w:t xml:space="preserve"> care </w:t>
      </w:r>
      <w:r w:rsidR="00C22D3B">
        <w:t>co-exist but differ in ways that</w:t>
      </w:r>
      <w:r w:rsidR="000463CE">
        <w:t xml:space="preserve"> are consequential for those living with </w:t>
      </w:r>
      <w:r w:rsidR="00C22D3B">
        <w:t xml:space="preserve">chronic conditions. She argues that patient choice – </w:t>
      </w:r>
      <w:proofErr w:type="spellStart"/>
      <w:r w:rsidR="000463CE">
        <w:t>emphasising</w:t>
      </w:r>
      <w:proofErr w:type="spellEnd"/>
      <w:r w:rsidR="00F23753">
        <w:t xml:space="preserve"> autonomy, which is linked to ideas about </w:t>
      </w:r>
      <w:r w:rsidR="00C22D3B">
        <w:t>freedom – will not bring about the hoped-for improvements to health care, because “it alters daily practices in ways that do not necessarily fit well with the intricacies of our diseases” (p. 2). Inst</w:t>
      </w:r>
      <w:r w:rsidR="000463CE">
        <w:t>ead, she defends a logic of care, which is not t</w:t>
      </w:r>
      <w:r w:rsidR="00C22D3B">
        <w:t xml:space="preserve">o be interpreted solely as kindness, dedication, or generosity. </w:t>
      </w:r>
      <w:r w:rsidR="003B0F40">
        <w:t xml:space="preserve"> </w:t>
      </w:r>
      <w:r w:rsidR="000463CE">
        <w:t>A logic of care reject</w:t>
      </w:r>
      <w:r w:rsidR="00C22D3B">
        <w:t>s fantasies of control of disease; instead, there is attentive, ongoing tinkering with what makes a difference in a person’s life</w:t>
      </w:r>
      <w:r w:rsidR="005D204F">
        <w:t>, experimenting with the collective in which the person lives, in hopes of</w:t>
      </w:r>
      <w:r w:rsidR="009F43FA">
        <w:t xml:space="preserve"> crafting more bearabl</w:t>
      </w:r>
      <w:r w:rsidR="000463CE">
        <w:t>e ways of living.</w:t>
      </w:r>
    </w:p>
    <w:p w14:paraId="3AB84692" w14:textId="77777777" w:rsidR="009F43FA" w:rsidRDefault="009F43FA" w:rsidP="009F43FA">
      <w:proofErr w:type="spellStart"/>
      <w:r>
        <w:t>Mol’s</w:t>
      </w:r>
      <w:proofErr w:type="spellEnd"/>
      <w:r>
        <w:t xml:space="preserve"> ethnographies of </w:t>
      </w:r>
      <w:r w:rsidR="000463CE">
        <w:t>variations in clinical</w:t>
      </w:r>
      <w:r>
        <w:t xml:space="preserve"> practice</w:t>
      </w:r>
      <w:r w:rsidR="000463CE">
        <w:t xml:space="preserve">, and her resulting theories, </w:t>
      </w:r>
      <w:r>
        <w:t xml:space="preserve">help us appreciate that there are other ways of doing things, because they are </w:t>
      </w:r>
      <w:r w:rsidR="000463CE">
        <w:t xml:space="preserve">already </w:t>
      </w:r>
      <w:r>
        <w:t xml:space="preserve">done differently elsewhere. And in her theory of care, </w:t>
      </w:r>
      <w:proofErr w:type="spellStart"/>
      <w:r>
        <w:t>Mol</w:t>
      </w:r>
      <w:proofErr w:type="spellEnd"/>
      <w:r>
        <w:t xml:space="preserve"> offers a theoretical lens against which we can reflect upon </w:t>
      </w:r>
      <w:r w:rsidR="000463CE">
        <w:t>contemporary</w:t>
      </w:r>
      <w:r>
        <w:t xml:space="preserve"> service delivery.</w:t>
      </w:r>
    </w:p>
    <w:p w14:paraId="4A782B80" w14:textId="77777777" w:rsidR="006D374B" w:rsidRDefault="00F23753">
      <w:r>
        <w:t xml:space="preserve">After introducing </w:t>
      </w:r>
      <w:proofErr w:type="spellStart"/>
      <w:r>
        <w:t>Mol’s</w:t>
      </w:r>
      <w:proofErr w:type="spellEnd"/>
      <w:r>
        <w:t xml:space="preserve"> core arguments about logics of choice and care</w:t>
      </w:r>
      <w:r w:rsidR="006D374B">
        <w:t xml:space="preserve">, I will discuss how </w:t>
      </w:r>
      <w:r>
        <w:t xml:space="preserve">her </w:t>
      </w:r>
      <w:r w:rsidR="009F43FA">
        <w:t xml:space="preserve">ideas help us unsettle some taken for granted </w:t>
      </w:r>
      <w:r w:rsidR="005D204F">
        <w:t xml:space="preserve">clinical </w:t>
      </w:r>
      <w:r w:rsidR="009F43FA">
        <w:t xml:space="preserve">concepts, such as risk and adherence. I will do so by </w:t>
      </w:r>
      <w:r w:rsidR="000463CE">
        <w:t xml:space="preserve">providing </w:t>
      </w:r>
      <w:r w:rsidR="009F43FA">
        <w:t>example</w:t>
      </w:r>
      <w:r>
        <w:t>s from a co-analysis of current clinical routines</w:t>
      </w:r>
      <w:r w:rsidR="000463CE">
        <w:t>,</w:t>
      </w:r>
      <w:r>
        <w:t xml:space="preserve"> where </w:t>
      </w:r>
      <w:r w:rsidR="009F43FA">
        <w:t xml:space="preserve">children’s neuromuscular clinical teams </w:t>
      </w:r>
      <w:r w:rsidR="000463CE">
        <w:t xml:space="preserve">working with researcher </w:t>
      </w:r>
      <w:r w:rsidR="005D204F">
        <w:t xml:space="preserve">applied </w:t>
      </w:r>
      <w:proofErr w:type="spellStart"/>
      <w:r>
        <w:t>Mol’s</w:t>
      </w:r>
      <w:proofErr w:type="spellEnd"/>
      <w:r>
        <w:t xml:space="preserve"> logics</w:t>
      </w:r>
      <w:r w:rsidR="005D204F">
        <w:t>.</w:t>
      </w:r>
    </w:p>
    <w:p w14:paraId="7F29ACE1" w14:textId="77777777" w:rsidR="00BE6838" w:rsidRDefault="005D204F">
      <w:r>
        <w:rPr>
          <w:b/>
        </w:rPr>
        <w:t>Primary</w:t>
      </w:r>
      <w:r w:rsidR="00062010" w:rsidRPr="00791923">
        <w:rPr>
          <w:b/>
        </w:rPr>
        <w:t xml:space="preserve"> reading</w:t>
      </w:r>
      <w:r w:rsidR="00062010">
        <w:t>:</w:t>
      </w:r>
    </w:p>
    <w:p w14:paraId="7CDA3CB4" w14:textId="77777777" w:rsidR="00F23753" w:rsidRDefault="00F23753" w:rsidP="00F23753">
      <w:pPr>
        <w:pStyle w:val="Header"/>
        <w:rPr>
          <w:rFonts w:asciiTheme="minorHAnsi" w:hAnsiTheme="minorHAnsi" w:cstheme="minorHAnsi"/>
          <w:sz w:val="22"/>
        </w:rPr>
      </w:pPr>
      <w:proofErr w:type="spellStart"/>
      <w:r w:rsidRPr="00F23753">
        <w:rPr>
          <w:rFonts w:asciiTheme="minorHAnsi" w:hAnsiTheme="minorHAnsi" w:cstheme="minorHAnsi"/>
          <w:sz w:val="22"/>
        </w:rPr>
        <w:t>Mol</w:t>
      </w:r>
      <w:proofErr w:type="spellEnd"/>
      <w:r w:rsidRPr="00F23753">
        <w:rPr>
          <w:rFonts w:asciiTheme="minorHAnsi" w:hAnsiTheme="minorHAnsi" w:cstheme="minorHAnsi"/>
          <w:sz w:val="22"/>
        </w:rPr>
        <w:t xml:space="preserve">, A. (2008). </w:t>
      </w:r>
      <w:r w:rsidRPr="00F23753">
        <w:rPr>
          <w:rFonts w:asciiTheme="minorHAnsi" w:hAnsiTheme="minorHAnsi" w:cstheme="minorHAnsi"/>
          <w:i/>
          <w:sz w:val="22"/>
        </w:rPr>
        <w:t xml:space="preserve">The logic of care: Health and the problem of patient choice. </w:t>
      </w:r>
      <w:r w:rsidRPr="00F23753">
        <w:rPr>
          <w:rFonts w:asciiTheme="minorHAnsi" w:hAnsiTheme="minorHAnsi" w:cstheme="minorHAnsi"/>
          <w:sz w:val="22"/>
        </w:rPr>
        <w:t>London: Routledge.</w:t>
      </w:r>
    </w:p>
    <w:p w14:paraId="5B57C717" w14:textId="77777777" w:rsidR="00F23753" w:rsidRDefault="00F23753" w:rsidP="00F23753">
      <w:pPr>
        <w:pStyle w:val="Header"/>
        <w:rPr>
          <w:rFonts w:asciiTheme="minorHAnsi" w:hAnsiTheme="minorHAnsi" w:cstheme="minorHAnsi"/>
          <w:sz w:val="22"/>
        </w:rPr>
      </w:pPr>
    </w:p>
    <w:p w14:paraId="517DA761" w14:textId="77777777" w:rsidR="005D204F" w:rsidRDefault="005D204F" w:rsidP="00F23753">
      <w:pPr>
        <w:pStyle w:val="Head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Suggested readings: </w:t>
      </w:r>
    </w:p>
    <w:p w14:paraId="5C8B0EE6" w14:textId="77777777" w:rsidR="005D204F" w:rsidRPr="005D204F" w:rsidRDefault="005D204F" w:rsidP="00F23753">
      <w:pPr>
        <w:pStyle w:val="Header"/>
        <w:rPr>
          <w:rFonts w:asciiTheme="minorHAnsi" w:hAnsiTheme="minorHAnsi" w:cstheme="minorHAnsi"/>
          <w:b/>
          <w:sz w:val="20"/>
        </w:rPr>
      </w:pPr>
    </w:p>
    <w:p w14:paraId="5DC78583" w14:textId="77777777" w:rsidR="005D204F" w:rsidRPr="000463CE" w:rsidRDefault="005D204F" w:rsidP="005D204F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0463CE">
        <w:rPr>
          <w:rStyle w:val="authors"/>
          <w:rFonts w:asciiTheme="minorHAnsi" w:hAnsiTheme="minorHAnsi" w:cstheme="minorHAnsi"/>
          <w:color w:val="333333"/>
          <w:sz w:val="22"/>
          <w:szCs w:val="22"/>
        </w:rPr>
        <w:t xml:space="preserve">Gibson, B.E., Terry, G., Setchell, J., Bright, F.A.S., Cummins, C. &amp; </w:t>
      </w:r>
      <w:proofErr w:type="spellStart"/>
      <w:r w:rsidRPr="000463CE">
        <w:rPr>
          <w:rStyle w:val="authors"/>
          <w:rFonts w:asciiTheme="minorHAnsi" w:hAnsiTheme="minorHAnsi" w:cstheme="minorHAnsi"/>
          <w:color w:val="333333"/>
          <w:sz w:val="22"/>
          <w:szCs w:val="22"/>
        </w:rPr>
        <w:t>Kayes</w:t>
      </w:r>
      <w:proofErr w:type="spellEnd"/>
      <w:r w:rsidRPr="000463CE">
        <w:rPr>
          <w:rStyle w:val="authors"/>
          <w:rFonts w:asciiTheme="minorHAnsi" w:hAnsiTheme="minorHAnsi" w:cstheme="minorHAnsi"/>
          <w:color w:val="333333"/>
          <w:sz w:val="22"/>
          <w:szCs w:val="22"/>
        </w:rPr>
        <w:t>, N.M.</w:t>
      </w:r>
      <w:r w:rsidRPr="000463CE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463CE">
        <w:rPr>
          <w:rStyle w:val="Date1"/>
          <w:rFonts w:asciiTheme="minorHAnsi" w:hAnsiTheme="minorHAnsi" w:cstheme="minorHAnsi"/>
          <w:color w:val="333333"/>
          <w:sz w:val="22"/>
          <w:szCs w:val="22"/>
        </w:rPr>
        <w:t>(2019)</w:t>
      </w:r>
      <w:r w:rsidRPr="000463CE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463CE">
        <w:rPr>
          <w:rStyle w:val="arttitle"/>
          <w:rFonts w:asciiTheme="minorHAnsi" w:hAnsiTheme="minorHAnsi" w:cstheme="minorHAnsi"/>
          <w:color w:val="333333"/>
          <w:sz w:val="22"/>
          <w:szCs w:val="22"/>
        </w:rPr>
        <w:t>The micro-politics of caring: tinkering with person-centered rehabilitation.</w:t>
      </w:r>
      <w:r w:rsidRPr="000463CE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463CE">
        <w:rPr>
          <w:rStyle w:val="serialtitle"/>
          <w:rFonts w:asciiTheme="minorHAnsi" w:hAnsiTheme="minorHAnsi" w:cstheme="minorHAnsi"/>
          <w:i/>
          <w:color w:val="333333"/>
          <w:sz w:val="22"/>
          <w:szCs w:val="22"/>
        </w:rPr>
        <w:t>Disability and Rehabilitation,</w:t>
      </w:r>
      <w:r w:rsidRPr="000463CE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463CE">
        <w:rPr>
          <w:rStyle w:val="doilink"/>
          <w:rFonts w:asciiTheme="minorHAnsi" w:hAnsiTheme="minorHAnsi" w:cstheme="minorHAnsi"/>
          <w:color w:val="333333"/>
          <w:sz w:val="22"/>
          <w:szCs w:val="22"/>
        </w:rPr>
        <w:t xml:space="preserve">DOI: </w:t>
      </w:r>
      <w:hyperlink r:id="rId5" w:history="1">
        <w:r w:rsidRPr="000463CE">
          <w:rPr>
            <w:rStyle w:val="Hyperlink"/>
            <w:rFonts w:asciiTheme="minorHAnsi" w:hAnsiTheme="minorHAnsi" w:cstheme="minorHAnsi"/>
            <w:color w:val="333333"/>
            <w:sz w:val="22"/>
            <w:szCs w:val="22"/>
          </w:rPr>
          <w:t>10.1080/09638288.2019.1587793</w:t>
        </w:r>
      </w:hyperlink>
    </w:p>
    <w:p w14:paraId="4A59EB60" w14:textId="77777777" w:rsidR="000463CE" w:rsidRPr="000463CE" w:rsidRDefault="009F43FA" w:rsidP="000463CE">
      <w:pPr>
        <w:pStyle w:val="Header"/>
        <w:rPr>
          <w:rFonts w:asciiTheme="minorHAnsi" w:hAnsiTheme="minorHAnsi" w:cstheme="minorHAnsi"/>
          <w:sz w:val="22"/>
          <w:szCs w:val="22"/>
        </w:rPr>
      </w:pPr>
      <w:proofErr w:type="spellStart"/>
      <w:r w:rsidRPr="000463CE">
        <w:rPr>
          <w:rFonts w:asciiTheme="minorHAnsi" w:hAnsiTheme="minorHAnsi" w:cstheme="minorHAnsi"/>
          <w:sz w:val="22"/>
          <w:szCs w:val="22"/>
        </w:rPr>
        <w:lastRenderedPageBreak/>
        <w:t>Struhkamp</w:t>
      </w:r>
      <w:proofErr w:type="spellEnd"/>
      <w:r w:rsidRPr="000463CE">
        <w:rPr>
          <w:rFonts w:asciiTheme="minorHAnsi" w:hAnsiTheme="minorHAnsi" w:cstheme="minorHAnsi"/>
          <w:sz w:val="22"/>
          <w:szCs w:val="22"/>
        </w:rPr>
        <w:t xml:space="preserve">, R., </w:t>
      </w:r>
      <w:proofErr w:type="spellStart"/>
      <w:r w:rsidRPr="000463CE">
        <w:rPr>
          <w:rFonts w:asciiTheme="minorHAnsi" w:hAnsiTheme="minorHAnsi" w:cstheme="minorHAnsi"/>
          <w:sz w:val="22"/>
          <w:szCs w:val="22"/>
        </w:rPr>
        <w:t>Mol</w:t>
      </w:r>
      <w:proofErr w:type="spellEnd"/>
      <w:r w:rsidRPr="000463CE">
        <w:rPr>
          <w:rFonts w:asciiTheme="minorHAnsi" w:hAnsiTheme="minorHAnsi" w:cstheme="minorHAnsi"/>
          <w:sz w:val="22"/>
          <w:szCs w:val="22"/>
        </w:rPr>
        <w:t xml:space="preserve">, A., &amp; </w:t>
      </w:r>
      <w:proofErr w:type="spellStart"/>
      <w:r w:rsidRPr="000463CE">
        <w:rPr>
          <w:rFonts w:asciiTheme="minorHAnsi" w:hAnsiTheme="minorHAnsi" w:cstheme="minorHAnsi"/>
          <w:sz w:val="22"/>
          <w:szCs w:val="22"/>
        </w:rPr>
        <w:t>Swierstra</w:t>
      </w:r>
      <w:proofErr w:type="spellEnd"/>
      <w:r w:rsidRPr="000463CE">
        <w:rPr>
          <w:rFonts w:asciiTheme="minorHAnsi" w:hAnsiTheme="minorHAnsi" w:cstheme="minorHAnsi"/>
          <w:sz w:val="22"/>
          <w:szCs w:val="22"/>
        </w:rPr>
        <w:t xml:space="preserve">, T. (2009). Dealing with </w:t>
      </w:r>
      <w:proofErr w:type="gramStart"/>
      <w:r w:rsidRPr="000463CE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0463CE">
        <w:rPr>
          <w:rFonts w:asciiTheme="minorHAnsi" w:hAnsiTheme="minorHAnsi" w:cstheme="minorHAnsi"/>
          <w:sz w:val="22"/>
          <w:szCs w:val="22"/>
        </w:rPr>
        <w:t xml:space="preserve">/dependence: Doctoring in Physical Rehabilitation Practice. </w:t>
      </w:r>
      <w:r w:rsidRPr="000463CE">
        <w:rPr>
          <w:rFonts w:asciiTheme="minorHAnsi" w:hAnsiTheme="minorHAnsi" w:cstheme="minorHAnsi"/>
          <w:i/>
          <w:sz w:val="22"/>
          <w:szCs w:val="22"/>
        </w:rPr>
        <w:t>Science, Technology, &amp; Human Values</w:t>
      </w:r>
      <w:r w:rsidRPr="000463CE">
        <w:rPr>
          <w:rFonts w:asciiTheme="minorHAnsi" w:hAnsiTheme="minorHAnsi" w:cstheme="minorHAnsi"/>
          <w:sz w:val="22"/>
          <w:szCs w:val="22"/>
        </w:rPr>
        <w:t xml:space="preserve">, 34(1), 55–76. </w:t>
      </w:r>
      <w:hyperlink r:id="rId6" w:history="1">
        <w:r w:rsidRPr="000463C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https://doi.org/10.1177/0162243907312954</w:t>
        </w:r>
      </w:hyperlink>
    </w:p>
    <w:p w14:paraId="76A79438" w14:textId="77777777" w:rsidR="000463CE" w:rsidRPr="000463CE" w:rsidRDefault="000463CE" w:rsidP="000463CE">
      <w:pPr>
        <w:pStyle w:val="Header"/>
        <w:rPr>
          <w:rFonts w:asciiTheme="minorHAnsi" w:hAnsiTheme="minorHAnsi" w:cstheme="minorHAnsi"/>
          <w:sz w:val="22"/>
          <w:szCs w:val="22"/>
        </w:rPr>
      </w:pPr>
    </w:p>
    <w:p w14:paraId="15EE1A16" w14:textId="77777777" w:rsidR="00BA27EC" w:rsidRPr="000463CE" w:rsidRDefault="009F43FA" w:rsidP="000463CE">
      <w:pPr>
        <w:pStyle w:val="Header"/>
        <w:rPr>
          <w:rFonts w:asciiTheme="minorHAnsi" w:hAnsiTheme="minorHAnsi" w:cstheme="minorHAnsi"/>
          <w:sz w:val="22"/>
          <w:szCs w:val="22"/>
        </w:rPr>
      </w:pPr>
      <w:proofErr w:type="spellStart"/>
      <w:r w:rsidRPr="000463CE">
        <w:rPr>
          <w:rFonts w:asciiTheme="minorHAnsi" w:hAnsiTheme="minorHAnsi" w:cstheme="minorHAnsi"/>
          <w:color w:val="000000"/>
          <w:sz w:val="22"/>
          <w:szCs w:val="22"/>
        </w:rPr>
        <w:t>Winance</w:t>
      </w:r>
      <w:proofErr w:type="spellEnd"/>
      <w:r w:rsidRPr="000463CE">
        <w:rPr>
          <w:rFonts w:asciiTheme="minorHAnsi" w:hAnsiTheme="minorHAnsi" w:cstheme="minorHAnsi"/>
          <w:color w:val="000000"/>
          <w:sz w:val="22"/>
          <w:szCs w:val="22"/>
        </w:rPr>
        <w:t xml:space="preserve">, M. </w:t>
      </w:r>
      <w:r w:rsidR="00BA27EC" w:rsidRPr="000463CE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BA27EC" w:rsidRPr="000463CE">
        <w:rPr>
          <w:rStyle w:val="publishdate"/>
          <w:rFonts w:asciiTheme="minorHAnsi" w:hAnsiTheme="minorHAnsi" w:cstheme="minorHAnsi"/>
          <w:color w:val="000000"/>
          <w:sz w:val="22"/>
          <w:szCs w:val="22"/>
        </w:rPr>
        <w:t>2010</w:t>
      </w:r>
      <w:r w:rsidR="00BA27EC" w:rsidRPr="000463CE">
        <w:rPr>
          <w:rFonts w:asciiTheme="minorHAnsi" w:hAnsiTheme="minorHAnsi" w:cstheme="minorHAnsi"/>
          <w:color w:val="000000"/>
          <w:sz w:val="22"/>
          <w:szCs w:val="22"/>
        </w:rPr>
        <w:t xml:space="preserve">). Practices of experimenting, tinkering with, and arranging people and technical aids. </w:t>
      </w:r>
      <w:r w:rsidR="005D204F" w:rsidRPr="000463CE">
        <w:rPr>
          <w:rFonts w:asciiTheme="minorHAnsi" w:hAnsiTheme="minorHAnsi" w:cstheme="minorHAnsi"/>
          <w:color w:val="000000"/>
          <w:sz w:val="22"/>
          <w:szCs w:val="22"/>
        </w:rPr>
        <w:t xml:space="preserve">In A. </w:t>
      </w:r>
      <w:proofErr w:type="spellStart"/>
      <w:r w:rsidR="005D204F" w:rsidRPr="000463CE">
        <w:rPr>
          <w:rFonts w:asciiTheme="minorHAnsi" w:hAnsiTheme="minorHAnsi" w:cstheme="minorHAnsi"/>
          <w:color w:val="000000"/>
          <w:sz w:val="22"/>
          <w:szCs w:val="22"/>
        </w:rPr>
        <w:t>Mol</w:t>
      </w:r>
      <w:proofErr w:type="spellEnd"/>
      <w:r w:rsidR="005D204F" w:rsidRPr="000463CE">
        <w:rPr>
          <w:rFonts w:asciiTheme="minorHAnsi" w:hAnsiTheme="minorHAnsi" w:cstheme="minorHAnsi"/>
          <w:color w:val="000000"/>
          <w:sz w:val="22"/>
          <w:szCs w:val="22"/>
        </w:rPr>
        <w:t>, I. Moser, &amp; J. Pols (</w:t>
      </w:r>
      <w:proofErr w:type="spellStart"/>
      <w:r w:rsidR="005D204F" w:rsidRPr="000463CE">
        <w:rPr>
          <w:rFonts w:asciiTheme="minorHAnsi" w:hAnsiTheme="minorHAnsi" w:cstheme="minorHAnsi"/>
          <w:color w:val="000000"/>
          <w:sz w:val="22"/>
          <w:szCs w:val="22"/>
        </w:rPr>
        <w:t>Eds</w:t>
      </w:r>
      <w:proofErr w:type="spellEnd"/>
      <w:r w:rsidR="005D204F" w:rsidRPr="000463CE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BA27EC" w:rsidRPr="000463CE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Care in Practice: On Tinkering in Clinics, Homes and Farms</w:t>
      </w:r>
      <w:r w:rsidR="005D204F" w:rsidRPr="000463C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, </w:t>
      </w:r>
      <w:r w:rsidR="005D204F" w:rsidRPr="000463CE">
        <w:rPr>
          <w:rStyle w:val="pages"/>
          <w:rFonts w:asciiTheme="minorHAnsi" w:hAnsiTheme="minorHAnsi" w:cstheme="minorHAnsi"/>
          <w:color w:val="000000"/>
          <w:sz w:val="22"/>
          <w:szCs w:val="22"/>
        </w:rPr>
        <w:t>pp. 93–118.</w:t>
      </w:r>
      <w:r w:rsidR="005D204F" w:rsidRPr="000463C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5D204F" w:rsidRPr="000463CE">
        <w:rPr>
          <w:rFonts w:asciiTheme="minorHAnsi" w:hAnsiTheme="minorHAnsi" w:cstheme="minorHAnsi"/>
          <w:iCs/>
          <w:color w:val="000000"/>
          <w:sz w:val="22"/>
          <w:szCs w:val="22"/>
        </w:rPr>
        <w:t>Verlag</w:t>
      </w:r>
      <w:proofErr w:type="spellEnd"/>
      <w:r w:rsidR="005D204F" w:rsidRPr="000463CE">
        <w:rPr>
          <w:rFonts w:asciiTheme="minorHAnsi" w:hAnsiTheme="minorHAnsi" w:cstheme="minorHAnsi"/>
          <w:iCs/>
          <w:color w:val="000000"/>
          <w:sz w:val="22"/>
          <w:szCs w:val="22"/>
        </w:rPr>
        <w:t>, Holland: transcript</w:t>
      </w:r>
      <w:r w:rsidR="00BA27EC" w:rsidRPr="000463CE">
        <w:rPr>
          <w:rStyle w:val="pages"/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7" w:history="1">
        <w:r w:rsidR="00BA27EC" w:rsidRPr="000463CE">
          <w:rPr>
            <w:rStyle w:val="Hyperlink"/>
            <w:rFonts w:asciiTheme="minorHAnsi" w:hAnsiTheme="minorHAnsi" w:cstheme="minorHAnsi"/>
            <w:color w:val="00627D"/>
            <w:sz w:val="22"/>
            <w:szCs w:val="22"/>
          </w:rPr>
          <w:t>https://doi.org/10.14361/transcript.9783839414477.93</w:t>
        </w:r>
      </w:hyperlink>
    </w:p>
    <w:p w14:paraId="6A6B8DA4" w14:textId="77777777" w:rsidR="000463CE" w:rsidRDefault="000463CE">
      <w:pPr>
        <w:rPr>
          <w:b/>
        </w:rPr>
      </w:pPr>
    </w:p>
    <w:p w14:paraId="3B25A9A4" w14:textId="77777777" w:rsidR="005F1443" w:rsidRDefault="005F1443">
      <w:r w:rsidRPr="00791923">
        <w:rPr>
          <w:b/>
        </w:rPr>
        <w:t>Questions</w:t>
      </w:r>
      <w:r>
        <w:t xml:space="preserve">: </w:t>
      </w:r>
    </w:p>
    <w:p w14:paraId="2EE9C2FC" w14:textId="77777777" w:rsidR="000463CE" w:rsidRDefault="000463CE" w:rsidP="000463CE">
      <w:r>
        <w:t xml:space="preserve">Do current understandings of “patient/client-centeredness” orient more to a logic of choice or care? </w:t>
      </w:r>
    </w:p>
    <w:p w14:paraId="58E9FF2F" w14:textId="77777777" w:rsidR="009600D4" w:rsidRDefault="009600D4" w:rsidP="009600D4">
      <w:r>
        <w:t xml:space="preserve">How are the logics of choice and care embedded in your practice? </w:t>
      </w:r>
    </w:p>
    <w:p w14:paraId="23EF8C69" w14:textId="77777777" w:rsidR="00F23753" w:rsidRDefault="009600D4">
      <w:r>
        <w:t xml:space="preserve">What would we need to ‘tinker with’ to shift physiotherapy practice more toward the logic of care? </w:t>
      </w:r>
    </w:p>
    <w:sectPr w:rsidR="00F23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38"/>
    <w:rsid w:val="000463CE"/>
    <w:rsid w:val="00062010"/>
    <w:rsid w:val="003B0F40"/>
    <w:rsid w:val="005D204F"/>
    <w:rsid w:val="005D5263"/>
    <w:rsid w:val="005E2968"/>
    <w:rsid w:val="005F1443"/>
    <w:rsid w:val="006D374B"/>
    <w:rsid w:val="00713E42"/>
    <w:rsid w:val="00791923"/>
    <w:rsid w:val="009600D4"/>
    <w:rsid w:val="009F43FA"/>
    <w:rsid w:val="00B53944"/>
    <w:rsid w:val="00BA27EC"/>
    <w:rsid w:val="00BE6838"/>
    <w:rsid w:val="00C22D3B"/>
    <w:rsid w:val="00CF5C38"/>
    <w:rsid w:val="00F2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D70B"/>
  <w15:chartTrackingRefBased/>
  <w15:docId w15:val="{613A4C77-239F-4FC6-8E05-BD9AA51E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0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E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date">
    <w:name w:val="publishdate"/>
    <w:basedOn w:val="DefaultParagraphFont"/>
    <w:rsid w:val="00BA27EC"/>
  </w:style>
  <w:style w:type="character" w:customStyle="1" w:styleId="pages">
    <w:name w:val="pages"/>
    <w:basedOn w:val="DefaultParagraphFont"/>
    <w:rsid w:val="00BA27EC"/>
  </w:style>
  <w:style w:type="character" w:customStyle="1" w:styleId="doi">
    <w:name w:val="doi"/>
    <w:basedOn w:val="DefaultParagraphFont"/>
    <w:rsid w:val="00BA27EC"/>
  </w:style>
  <w:style w:type="character" w:styleId="FollowedHyperlink">
    <w:name w:val="FollowedHyperlink"/>
    <w:basedOn w:val="DefaultParagraphFont"/>
    <w:uiPriority w:val="99"/>
    <w:semiHidden/>
    <w:unhideWhenUsed/>
    <w:rsid w:val="009F43F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F237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rsid w:val="00F23753"/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uthors">
    <w:name w:val="authors"/>
    <w:basedOn w:val="DefaultParagraphFont"/>
    <w:rsid w:val="005D204F"/>
  </w:style>
  <w:style w:type="character" w:customStyle="1" w:styleId="Date1">
    <w:name w:val="Date1"/>
    <w:basedOn w:val="DefaultParagraphFont"/>
    <w:rsid w:val="005D204F"/>
  </w:style>
  <w:style w:type="character" w:customStyle="1" w:styleId="arttitle">
    <w:name w:val="art_title"/>
    <w:basedOn w:val="DefaultParagraphFont"/>
    <w:rsid w:val="005D204F"/>
  </w:style>
  <w:style w:type="character" w:customStyle="1" w:styleId="serialtitle">
    <w:name w:val="serial_title"/>
    <w:basedOn w:val="DefaultParagraphFont"/>
    <w:rsid w:val="005D204F"/>
  </w:style>
  <w:style w:type="character" w:customStyle="1" w:styleId="doilink">
    <w:name w:val="doi_link"/>
    <w:basedOn w:val="DefaultParagraphFont"/>
    <w:rsid w:val="005D204F"/>
  </w:style>
  <w:style w:type="character" w:customStyle="1" w:styleId="Heading1Char">
    <w:name w:val="Heading 1 Char"/>
    <w:basedOn w:val="DefaultParagraphFont"/>
    <w:link w:val="Heading1"/>
    <w:uiPriority w:val="9"/>
    <w:rsid w:val="009600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uva.nl/en/profile/m/o/a.mol/a.mol.html" TargetMode="External"/><Relationship Id="rId5" Type="http://schemas.openxmlformats.org/officeDocument/2006/relationships/hyperlink" Target="https://doi.org/10.1080/09638288.2019.1587793" TargetMode="External"/><Relationship Id="rId6" Type="http://schemas.openxmlformats.org/officeDocument/2006/relationships/hyperlink" Target="https://doi.org/10.1177/0162243907312954" TargetMode="External"/><Relationship Id="rId7" Type="http://schemas.openxmlformats.org/officeDocument/2006/relationships/hyperlink" Target="https://doi.org/10.14361/transcript.9783839414477.93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Health Sciences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Thille</dc:creator>
  <cp:keywords/>
  <dc:description/>
  <cp:lastModifiedBy>David Nicholls</cp:lastModifiedBy>
  <cp:revision>2</cp:revision>
  <dcterms:created xsi:type="dcterms:W3CDTF">2019-05-09T17:26:00Z</dcterms:created>
  <dcterms:modified xsi:type="dcterms:W3CDTF">2019-05-09T17:26:00Z</dcterms:modified>
</cp:coreProperties>
</file>